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98F0B" w14:textId="77777777" w:rsidR="00E735DE" w:rsidRPr="00E735DE" w:rsidRDefault="00E735DE" w:rsidP="00E735DE">
      <w:pPr>
        <w:rPr>
          <w:rFonts w:ascii="Calibri" w:eastAsia="Calibri" w:hAnsi="Calibri" w:cs="Times New Roman"/>
          <w:b/>
          <w:bCs/>
          <w:sz w:val="28"/>
          <w:szCs w:val="28"/>
        </w:rPr>
      </w:pPr>
      <w:r w:rsidRPr="00E735DE">
        <w:rPr>
          <w:rFonts w:ascii="Calibri" w:eastAsia="Calibri" w:hAnsi="Calibri" w:cs="Times New Roman"/>
          <w:b/>
          <w:bCs/>
          <w:sz w:val="28"/>
          <w:szCs w:val="28"/>
        </w:rPr>
        <w:t>RBMHO Tenants’ Next of Kin Form</w:t>
      </w:r>
    </w:p>
    <w:p w14:paraId="11B18293"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 xml:space="preserve">Tenant(s): </w:t>
      </w:r>
    </w:p>
    <w:p w14:paraId="61EAF241"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Address:</w:t>
      </w:r>
    </w:p>
    <w:p w14:paraId="0D5C91F1" w14:textId="77777777" w:rsidR="00E735DE" w:rsidRPr="00E735DE" w:rsidRDefault="00E735DE" w:rsidP="00E735DE">
      <w:pPr>
        <w:rPr>
          <w:rFonts w:ascii="Calibri" w:eastAsia="Calibri" w:hAnsi="Calibri" w:cs="Times New Roman"/>
          <w:b/>
          <w:bCs/>
          <w:sz w:val="24"/>
          <w:szCs w:val="24"/>
        </w:rPr>
      </w:pPr>
    </w:p>
    <w:p w14:paraId="3357745D"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Date completed:</w:t>
      </w:r>
    </w:p>
    <w:p w14:paraId="3D17D4E6" w14:textId="77777777" w:rsidR="00E735DE" w:rsidRPr="00E735DE" w:rsidRDefault="00E735DE" w:rsidP="00E735DE">
      <w:pPr>
        <w:rPr>
          <w:rFonts w:ascii="Calibri" w:eastAsia="Calibri" w:hAnsi="Calibri" w:cs="Times New Roman"/>
          <w:b/>
          <w:bCs/>
          <w:sz w:val="24"/>
          <w:szCs w:val="24"/>
        </w:rPr>
      </w:pPr>
    </w:p>
    <w:p w14:paraId="564F4F79"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Next of Kin (1):</w:t>
      </w:r>
    </w:p>
    <w:p w14:paraId="3BA8BF95"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Email address:</w:t>
      </w:r>
    </w:p>
    <w:p w14:paraId="53CA7CD0"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Phone Number:</w:t>
      </w:r>
    </w:p>
    <w:p w14:paraId="1A230E8F"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Relationship to Tenant:</w:t>
      </w:r>
    </w:p>
    <w:p w14:paraId="4DF23301" w14:textId="77777777" w:rsidR="00E735DE" w:rsidRPr="00E735DE" w:rsidRDefault="00E735DE" w:rsidP="00E735DE">
      <w:pPr>
        <w:rPr>
          <w:rFonts w:ascii="Calibri" w:eastAsia="Calibri" w:hAnsi="Calibri" w:cs="Times New Roman"/>
          <w:b/>
          <w:bCs/>
          <w:sz w:val="24"/>
          <w:szCs w:val="24"/>
        </w:rPr>
      </w:pPr>
    </w:p>
    <w:p w14:paraId="5F9B89E6"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Next of Kin (2):</w:t>
      </w:r>
    </w:p>
    <w:p w14:paraId="6D0622E8"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Email address:</w:t>
      </w:r>
    </w:p>
    <w:p w14:paraId="1F75FCC5"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Phone Number:</w:t>
      </w:r>
    </w:p>
    <w:p w14:paraId="0C6EC6FE" w14:textId="77777777" w:rsidR="00E735DE" w:rsidRPr="00E735DE" w:rsidRDefault="00E735DE" w:rsidP="00E735DE">
      <w:pPr>
        <w:rPr>
          <w:rFonts w:ascii="Calibri" w:eastAsia="Calibri" w:hAnsi="Calibri" w:cs="Times New Roman"/>
          <w:b/>
          <w:bCs/>
          <w:sz w:val="24"/>
          <w:szCs w:val="24"/>
        </w:rPr>
      </w:pPr>
      <w:r w:rsidRPr="00E735DE">
        <w:rPr>
          <w:rFonts w:ascii="Calibri" w:eastAsia="Calibri" w:hAnsi="Calibri" w:cs="Times New Roman"/>
          <w:b/>
          <w:bCs/>
          <w:sz w:val="24"/>
          <w:szCs w:val="24"/>
        </w:rPr>
        <w:t>Relationship to Tenant:</w:t>
      </w:r>
    </w:p>
    <w:p w14:paraId="10D4C54F" w14:textId="77777777" w:rsidR="00E735DE" w:rsidRPr="00E735DE" w:rsidRDefault="00E735DE" w:rsidP="00E735DE">
      <w:pPr>
        <w:rPr>
          <w:rFonts w:ascii="Calibri" w:eastAsia="Calibri" w:hAnsi="Calibri" w:cs="Times New Roman"/>
        </w:rPr>
      </w:pPr>
    </w:p>
    <w:p w14:paraId="4DA222AB" w14:textId="77777777" w:rsidR="00E735DE" w:rsidRPr="00E735DE" w:rsidRDefault="00E735DE" w:rsidP="00E735DE">
      <w:pPr>
        <w:rPr>
          <w:rFonts w:ascii="Calibri" w:eastAsia="Calibri" w:hAnsi="Calibri" w:cs="Times New Roman"/>
        </w:rPr>
      </w:pPr>
      <w:r w:rsidRPr="00E735DE">
        <w:rPr>
          <w:rFonts w:ascii="Calibri" w:eastAsia="Calibri" w:hAnsi="Calibri" w:cs="Times New Roman"/>
        </w:rPr>
        <w:t>The information provided will be stored securely in line with our Data Protection Policy which can be found on our website RBMHO.org. We will only use the data to contact your next of kin when we cannot get through to you. The data will not be passed on to 3</w:t>
      </w:r>
      <w:r w:rsidRPr="00E735DE">
        <w:rPr>
          <w:rFonts w:ascii="Calibri" w:eastAsia="Calibri" w:hAnsi="Calibri" w:cs="Times New Roman"/>
          <w:vertAlign w:val="superscript"/>
        </w:rPr>
        <w:t>rd</w:t>
      </w:r>
      <w:r w:rsidRPr="00E735DE">
        <w:rPr>
          <w:rFonts w:ascii="Calibri" w:eastAsia="Calibri" w:hAnsi="Calibri" w:cs="Times New Roman"/>
        </w:rPr>
        <w:t xml:space="preserve"> parties without the consent of your next of kin.</w:t>
      </w:r>
    </w:p>
    <w:p w14:paraId="2F31892A" w14:textId="77777777" w:rsidR="00E71ADA" w:rsidRDefault="00E71ADA"/>
    <w:sectPr w:rsidR="00E71ADA" w:rsidSect="00E73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DE"/>
    <w:rsid w:val="000F2F72"/>
    <w:rsid w:val="00B37985"/>
    <w:rsid w:val="00D14FE3"/>
    <w:rsid w:val="00E71ADA"/>
    <w:rsid w:val="00E735DE"/>
    <w:rsid w:val="00EC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52FD"/>
  <w15:chartTrackingRefBased/>
  <w15:docId w15:val="{010346D6-1CE7-4A1B-9B7C-CC567324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5DE"/>
    <w:rPr>
      <w:rFonts w:eastAsiaTheme="majorEastAsia" w:cstheme="majorBidi"/>
      <w:color w:val="272727" w:themeColor="text1" w:themeTint="D8"/>
    </w:rPr>
  </w:style>
  <w:style w:type="paragraph" w:styleId="Title">
    <w:name w:val="Title"/>
    <w:basedOn w:val="Normal"/>
    <w:next w:val="Normal"/>
    <w:link w:val="TitleChar"/>
    <w:uiPriority w:val="10"/>
    <w:qFormat/>
    <w:rsid w:val="00E73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5DE"/>
    <w:pPr>
      <w:spacing w:before="160"/>
      <w:jc w:val="center"/>
    </w:pPr>
    <w:rPr>
      <w:i/>
      <w:iCs/>
      <w:color w:val="404040" w:themeColor="text1" w:themeTint="BF"/>
    </w:rPr>
  </w:style>
  <w:style w:type="character" w:customStyle="1" w:styleId="QuoteChar">
    <w:name w:val="Quote Char"/>
    <w:basedOn w:val="DefaultParagraphFont"/>
    <w:link w:val="Quote"/>
    <w:uiPriority w:val="29"/>
    <w:rsid w:val="00E735DE"/>
    <w:rPr>
      <w:i/>
      <w:iCs/>
      <w:color w:val="404040" w:themeColor="text1" w:themeTint="BF"/>
    </w:rPr>
  </w:style>
  <w:style w:type="paragraph" w:styleId="ListParagraph">
    <w:name w:val="List Paragraph"/>
    <w:basedOn w:val="Normal"/>
    <w:uiPriority w:val="34"/>
    <w:qFormat/>
    <w:rsid w:val="00E735DE"/>
    <w:pPr>
      <w:ind w:left="720"/>
      <w:contextualSpacing/>
    </w:pPr>
  </w:style>
  <w:style w:type="character" w:styleId="IntenseEmphasis">
    <w:name w:val="Intense Emphasis"/>
    <w:basedOn w:val="DefaultParagraphFont"/>
    <w:uiPriority w:val="21"/>
    <w:qFormat/>
    <w:rsid w:val="00E735DE"/>
    <w:rPr>
      <w:i/>
      <w:iCs/>
      <w:color w:val="0F4761" w:themeColor="accent1" w:themeShade="BF"/>
    </w:rPr>
  </w:style>
  <w:style w:type="paragraph" w:styleId="IntenseQuote">
    <w:name w:val="Intense Quote"/>
    <w:basedOn w:val="Normal"/>
    <w:next w:val="Normal"/>
    <w:link w:val="IntenseQuoteChar"/>
    <w:uiPriority w:val="30"/>
    <w:qFormat/>
    <w:rsid w:val="00E73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5DE"/>
    <w:rPr>
      <w:i/>
      <w:iCs/>
      <w:color w:val="0F4761" w:themeColor="accent1" w:themeShade="BF"/>
    </w:rPr>
  </w:style>
  <w:style w:type="character" w:styleId="IntenseReference">
    <w:name w:val="Intense Reference"/>
    <w:basedOn w:val="DefaultParagraphFont"/>
    <w:uiPriority w:val="32"/>
    <w:qFormat/>
    <w:rsid w:val="00E735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Company>RedRock Consulting Limited</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Hughes</dc:creator>
  <cp:keywords/>
  <dc:description/>
  <cp:lastModifiedBy>Andy Hughes</cp:lastModifiedBy>
  <cp:revision>1</cp:revision>
  <dcterms:created xsi:type="dcterms:W3CDTF">2024-06-03T11:04:00Z</dcterms:created>
  <dcterms:modified xsi:type="dcterms:W3CDTF">2024-06-03T11:05:00Z</dcterms:modified>
</cp:coreProperties>
</file>